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DFA" w:rsidRPr="00FE3DFA" w:rsidRDefault="00FE3DFA" w:rsidP="00FE3DFA">
      <w:pPr>
        <w:spacing w:after="0" w:line="480" w:lineRule="auto"/>
        <w:rPr>
          <w:rFonts w:ascii="Times New Roman" w:hAnsi="Times New Roman" w:cs="Times New Roman"/>
          <w:sz w:val="24"/>
        </w:rPr>
      </w:pPr>
    </w:p>
    <w:p w:rsidR="00FE3DFA" w:rsidRPr="00FE3DFA" w:rsidRDefault="00FE3DFA" w:rsidP="00FE3DFA">
      <w:pPr>
        <w:spacing w:after="0" w:line="480" w:lineRule="auto"/>
        <w:rPr>
          <w:rFonts w:ascii="Times New Roman" w:hAnsi="Times New Roman" w:cs="Times New Roman"/>
          <w:sz w:val="24"/>
        </w:rPr>
      </w:pPr>
    </w:p>
    <w:p w:rsidR="00FE3DFA" w:rsidRPr="00FE3DFA" w:rsidRDefault="00FE3DFA" w:rsidP="00FE3DFA">
      <w:pPr>
        <w:spacing w:after="0" w:line="480" w:lineRule="auto"/>
        <w:rPr>
          <w:rFonts w:ascii="Times New Roman" w:hAnsi="Times New Roman" w:cs="Times New Roman"/>
          <w:sz w:val="24"/>
        </w:rPr>
      </w:pPr>
    </w:p>
    <w:p w:rsidR="00FE3DFA" w:rsidRPr="00FE3DFA" w:rsidRDefault="00FE3DFA" w:rsidP="00FE3DFA">
      <w:pPr>
        <w:spacing w:after="0" w:line="480" w:lineRule="auto"/>
        <w:rPr>
          <w:rFonts w:ascii="Times New Roman" w:hAnsi="Times New Roman" w:cs="Times New Roman"/>
          <w:sz w:val="24"/>
        </w:rPr>
      </w:pPr>
    </w:p>
    <w:p w:rsidR="00FE3DFA" w:rsidRPr="00FE3DFA" w:rsidRDefault="00FE3DFA" w:rsidP="00FE3DFA">
      <w:pPr>
        <w:spacing w:after="0" w:line="480" w:lineRule="auto"/>
        <w:rPr>
          <w:rFonts w:ascii="Times New Roman" w:hAnsi="Times New Roman" w:cs="Times New Roman"/>
          <w:sz w:val="24"/>
        </w:rPr>
      </w:pPr>
    </w:p>
    <w:p w:rsidR="00FE3DFA" w:rsidRPr="00FE3DFA" w:rsidRDefault="00FE3DFA" w:rsidP="00FE3DFA">
      <w:pPr>
        <w:spacing w:after="0" w:line="480" w:lineRule="auto"/>
        <w:rPr>
          <w:rFonts w:ascii="Times New Roman" w:hAnsi="Times New Roman" w:cs="Times New Roman"/>
          <w:sz w:val="24"/>
        </w:rPr>
      </w:pPr>
    </w:p>
    <w:p w:rsidR="00FE3DFA" w:rsidRPr="00FE3DFA" w:rsidRDefault="00FE3DFA" w:rsidP="00FE3DFA">
      <w:pPr>
        <w:spacing w:after="0" w:line="480" w:lineRule="auto"/>
        <w:jc w:val="center"/>
        <w:rPr>
          <w:rFonts w:ascii="Times New Roman" w:hAnsi="Times New Roman" w:cs="Times New Roman"/>
          <w:sz w:val="24"/>
        </w:rPr>
      </w:pPr>
      <w:r w:rsidRPr="00FE3DFA">
        <w:rPr>
          <w:rFonts w:ascii="Times New Roman" w:hAnsi="Times New Roman" w:cs="Times New Roman"/>
          <w:sz w:val="24"/>
        </w:rPr>
        <w:t>Four Foundations from ‘How Does Learning Happen?’</w:t>
      </w:r>
    </w:p>
    <w:p w:rsidR="00FE3DFA" w:rsidRPr="00FE3DFA" w:rsidRDefault="00FE3DFA" w:rsidP="00FE3DFA">
      <w:pPr>
        <w:spacing w:after="0" w:line="480" w:lineRule="auto"/>
        <w:jc w:val="center"/>
        <w:rPr>
          <w:rFonts w:ascii="Times New Roman" w:hAnsi="Times New Roman" w:cs="Times New Roman"/>
          <w:sz w:val="24"/>
        </w:rPr>
      </w:pPr>
      <w:r w:rsidRPr="00FE3DFA">
        <w:rPr>
          <w:rFonts w:ascii="Times New Roman" w:hAnsi="Times New Roman" w:cs="Times New Roman"/>
          <w:sz w:val="24"/>
        </w:rPr>
        <w:t>Name of Student</w:t>
      </w:r>
    </w:p>
    <w:p w:rsidR="00FE3DFA" w:rsidRPr="00FE3DFA" w:rsidRDefault="00FE3DFA" w:rsidP="00FE3DFA">
      <w:pPr>
        <w:spacing w:after="0" w:line="480" w:lineRule="auto"/>
        <w:jc w:val="center"/>
        <w:rPr>
          <w:rFonts w:ascii="Times New Roman" w:hAnsi="Times New Roman" w:cs="Times New Roman"/>
          <w:sz w:val="24"/>
        </w:rPr>
      </w:pPr>
      <w:r w:rsidRPr="00FE3DFA">
        <w:rPr>
          <w:rFonts w:ascii="Times New Roman" w:hAnsi="Times New Roman" w:cs="Times New Roman"/>
          <w:sz w:val="24"/>
        </w:rPr>
        <w:t>Name of Institution</w:t>
      </w:r>
    </w:p>
    <w:p w:rsidR="00FE3DFA" w:rsidRPr="00FE3DFA" w:rsidRDefault="00FE3DFA" w:rsidP="00FE3DFA">
      <w:pPr>
        <w:spacing w:after="0" w:line="480" w:lineRule="auto"/>
        <w:jc w:val="center"/>
        <w:rPr>
          <w:rFonts w:ascii="Times New Roman" w:hAnsi="Times New Roman" w:cs="Times New Roman"/>
          <w:sz w:val="24"/>
        </w:rPr>
      </w:pPr>
      <w:r w:rsidRPr="00FE3DFA">
        <w:rPr>
          <w:rFonts w:ascii="Times New Roman" w:hAnsi="Times New Roman" w:cs="Times New Roman"/>
          <w:sz w:val="24"/>
        </w:rPr>
        <w:t xml:space="preserve">Date </w:t>
      </w:r>
      <w:r w:rsidRPr="00FE3DFA">
        <w:rPr>
          <w:rFonts w:ascii="Times New Roman" w:hAnsi="Times New Roman" w:cs="Times New Roman"/>
          <w:sz w:val="24"/>
        </w:rPr>
        <w:br w:type="page"/>
      </w:r>
    </w:p>
    <w:p w:rsidR="004B6800" w:rsidRPr="00FE3DFA" w:rsidRDefault="004B6800" w:rsidP="004B6800">
      <w:pPr>
        <w:spacing w:after="0" w:line="480" w:lineRule="auto"/>
        <w:jc w:val="center"/>
        <w:rPr>
          <w:rFonts w:ascii="Times New Roman" w:hAnsi="Times New Roman" w:cs="Times New Roman"/>
          <w:sz w:val="24"/>
        </w:rPr>
      </w:pPr>
      <w:r w:rsidRPr="00FE3DFA">
        <w:rPr>
          <w:rFonts w:ascii="Times New Roman" w:hAnsi="Times New Roman" w:cs="Times New Roman"/>
          <w:sz w:val="24"/>
        </w:rPr>
        <w:lastRenderedPageBreak/>
        <w:t>Four Foundations from ‘How Does Learning Happen?’</w:t>
      </w:r>
    </w:p>
    <w:p w:rsidR="00FE3DFA" w:rsidRPr="00FE3DFA" w:rsidRDefault="00FE3DFA" w:rsidP="00FE3DFA">
      <w:pPr>
        <w:spacing w:after="0" w:line="480" w:lineRule="auto"/>
        <w:ind w:firstLine="720"/>
        <w:rPr>
          <w:rFonts w:ascii="Times New Roman" w:hAnsi="Times New Roman" w:cs="Times New Roman"/>
          <w:sz w:val="24"/>
        </w:rPr>
      </w:pPr>
      <w:r w:rsidRPr="00FE3DFA">
        <w:rPr>
          <w:rFonts w:ascii="Times New Roman" w:hAnsi="Times New Roman" w:cs="Times New Roman"/>
          <w:sz w:val="24"/>
        </w:rPr>
        <w:t xml:space="preserve">'How Does Learning Happen?' is a document with a significant focus on a strong pedagogical model which was the vision Ontario's Ministry of Education had for the early years </w:t>
      </w:r>
      <w:bookmarkStart w:id="0" w:name="_GoBack"/>
      <w:bookmarkEnd w:id="0"/>
      <w:r w:rsidRPr="00FE3DFA">
        <w:rPr>
          <w:rFonts w:ascii="Times New Roman" w:hAnsi="Times New Roman" w:cs="Times New Roman"/>
          <w:sz w:val="24"/>
        </w:rPr>
        <w:t xml:space="preserve">of education (Ontario Public Services, 2014). The vision of the document purposes at the creation of early years programs and services that support the healthy development of children characterized by increasing integration, accessibility, high-quality, and responsiveness. The use of the term pedagogy highlights the need for an inquisition into all structures and protocols that form the status quo in the quest for exploring the mechanisms of learning for children (Bertrand, et al., 2007). The document has four critical pillars that it passes on as the foundations for optimal learning and the healthy development of children. The same foundations have m=no limitation on the setting, geography, language, ability, culture, as well as age. The document also accentuates the need for viewing the above conditions not as separate elements of learning, but rather as states with high-level stakes all of which the children seek out. In the implementation of the four foundations; the document proposes shared understanding from educators, families, and children, with all the three having critical functions in their application. </w:t>
      </w:r>
    </w:p>
    <w:p w:rsidR="00FE3DFA" w:rsidRPr="00FE3DFA" w:rsidRDefault="00FE3DFA" w:rsidP="00FE3DFA">
      <w:pPr>
        <w:spacing w:after="0" w:line="480" w:lineRule="auto"/>
        <w:ind w:firstLine="720"/>
        <w:rPr>
          <w:rFonts w:ascii="Times New Roman" w:hAnsi="Times New Roman" w:cs="Times New Roman"/>
          <w:sz w:val="24"/>
        </w:rPr>
      </w:pPr>
      <w:r w:rsidRPr="00FE3DFA">
        <w:rPr>
          <w:rFonts w:ascii="Times New Roman" w:hAnsi="Times New Roman" w:cs="Times New Roman"/>
          <w:sz w:val="24"/>
        </w:rPr>
        <w:t xml:space="preserve">The Finnish early education model portrays a difference in logic over the traditional model of learning. Some of its aspects are critically different from educational models and programs in other countries, particularly the United States. Assessment of the Finnish education model through the document, 'How Does Learning Happen,' involves accounting for the four foundations portrayed as critical in the document. The four critical foundations for early programs and services include; belonging, engagement, expression, and well-being. </w:t>
      </w:r>
    </w:p>
    <w:p w:rsidR="00FE3DFA" w:rsidRPr="00FE3DFA" w:rsidRDefault="00FE3DFA" w:rsidP="00FE3DFA">
      <w:pPr>
        <w:spacing w:after="0" w:line="480" w:lineRule="auto"/>
        <w:ind w:firstLine="720"/>
        <w:rPr>
          <w:rFonts w:ascii="Times New Roman" w:hAnsi="Times New Roman" w:cs="Times New Roman"/>
          <w:sz w:val="24"/>
        </w:rPr>
      </w:pPr>
      <w:r w:rsidRPr="00FE3DFA">
        <w:rPr>
          <w:rFonts w:ascii="Times New Roman" w:hAnsi="Times New Roman" w:cs="Times New Roman"/>
          <w:sz w:val="24"/>
        </w:rPr>
        <w:t xml:space="preserve">The purpose of the first foundation is the cultivation of authentic relationships and connections. The perception of belongings is that every child has one, particularly in the </w:t>
      </w:r>
      <w:r w:rsidRPr="00FE3DFA">
        <w:rPr>
          <w:rFonts w:ascii="Times New Roman" w:hAnsi="Times New Roman" w:cs="Times New Roman"/>
          <w:sz w:val="24"/>
        </w:rPr>
        <w:lastRenderedPageBreak/>
        <w:t xml:space="preserve">environment of connecting with others and contributing to their world. The programs in the Finnish education programs have incorporated the aspect of belonging that allows for the cultivation of authentic, caring relationships and connections. Belonging is beneficial since it accentuates the same feeling between and among adults, children and their environment. The Finnish education model proposes programs that have respect for both educators and the learners as individuals which further enhances and promotes distinctiveness in each of the parties involves (Kansanen, 2015). Additionally, the ethical component involved in their programs propels the understanding of the values, norms, and traditions of the society. Application of the latter allows the student to better interpret their daily experiences and also fosters a better understanding of situations and issues. </w:t>
      </w:r>
    </w:p>
    <w:p w:rsidR="00FE3DFA" w:rsidRPr="00FE3DFA" w:rsidRDefault="00FE3DFA" w:rsidP="00FE3DFA">
      <w:pPr>
        <w:spacing w:after="0" w:line="480" w:lineRule="auto"/>
        <w:ind w:firstLine="720"/>
        <w:rPr>
          <w:rFonts w:ascii="Times New Roman" w:hAnsi="Times New Roman" w:cs="Times New Roman"/>
          <w:sz w:val="24"/>
        </w:rPr>
      </w:pPr>
      <w:r w:rsidRPr="00FE3DFA">
        <w:rPr>
          <w:rFonts w:ascii="Times New Roman" w:hAnsi="Times New Roman" w:cs="Times New Roman"/>
          <w:sz w:val="24"/>
        </w:rPr>
        <w:t xml:space="preserve">The structure of the Finnish education system also involves a variety of steps ranging from observation to assessment. The structure is a critical component in ensuring that self-reliance from the learners promotes continuous growth and development. In doing so, learners unconsciously polish and nurture their behaviors towards themselves and others. An additional step in the learning process allows for the internalization of input. The learners get to assess the comprehension of the learned material in a variety of fields including playing and the variety of assessments. Internalization promotes the development of critical and creative skills for the learners, both of which are critical elements in promoting the comprehension of self. The various methods structured for assessment of the learned material evaluates the comprehension capability of the child, and consequentially influence the ability of the learner to apply the knowledge in various settings. </w:t>
      </w:r>
    </w:p>
    <w:p w:rsidR="00FE3DFA" w:rsidRPr="00FE3DFA" w:rsidRDefault="00FE3DFA" w:rsidP="00FE3DFA">
      <w:pPr>
        <w:spacing w:after="0" w:line="480" w:lineRule="auto"/>
        <w:ind w:firstLine="720"/>
        <w:rPr>
          <w:rFonts w:ascii="Times New Roman" w:hAnsi="Times New Roman" w:cs="Times New Roman"/>
          <w:sz w:val="24"/>
        </w:rPr>
      </w:pPr>
      <w:r w:rsidRPr="00FE3DFA">
        <w:rPr>
          <w:rFonts w:ascii="Times New Roman" w:hAnsi="Times New Roman" w:cs="Times New Roman"/>
          <w:sz w:val="24"/>
        </w:rPr>
        <w:t xml:space="preserve">The second foundation involves the nurturing of healthy development and well-being. According to the document, "How Does Learning Happen?" the purpose of the foundation is to </w:t>
      </w:r>
      <w:r w:rsidRPr="00FE3DFA">
        <w:rPr>
          <w:rFonts w:ascii="Times New Roman" w:hAnsi="Times New Roman" w:cs="Times New Roman"/>
          <w:sz w:val="24"/>
        </w:rPr>
        <w:lastRenderedPageBreak/>
        <w:t>ensure that programs children develop a sense of self, health, and well-being. The Finnish education model employs programs and services that ensure that the children feel safe and free. The time-cut structure that allows the children to enjoy all the four seasons in various landmarks promotes imagination and creativity among the learners. The principle target for the model is building courage for the learning expedition and s=for educators to support learning. Additionally, the Finnish model promotes self-exploration from the learners, which they also encourage through mixed-aged children groups. The latter promotes learning from each other, which also helps in the identification of self and others (Thuneberg, Hautamaki, Ahtianen, Lintuvuori, Vainikainen, &amp; Hilasvuori, 2018). The games that children play are at times autonomous which fosters a sense of development and self-realization. The learners also get to learn directly or unconsciously about maturity.</w:t>
      </w:r>
    </w:p>
    <w:p w:rsidR="00FE3DFA" w:rsidRPr="00FE3DFA" w:rsidRDefault="00FE3DFA" w:rsidP="00FE3DFA">
      <w:pPr>
        <w:spacing w:after="0" w:line="480" w:lineRule="auto"/>
        <w:ind w:firstLine="720"/>
        <w:rPr>
          <w:rFonts w:ascii="Times New Roman" w:hAnsi="Times New Roman" w:cs="Times New Roman"/>
          <w:sz w:val="24"/>
        </w:rPr>
      </w:pPr>
      <w:r w:rsidRPr="00FE3DFA">
        <w:rPr>
          <w:rFonts w:ascii="Times New Roman" w:hAnsi="Times New Roman" w:cs="Times New Roman"/>
          <w:sz w:val="24"/>
        </w:rPr>
        <w:t xml:space="preserve">The third foundation concerns engagement which accounts for the learning and exploration of the world by children through mind, body, and sense. The principle adopted here involves ensuring that all the exploration the children undertake is meaningful, active, and also creative. The four-season experienced by Finland allows for the interaction of nature through field trips to accentuate the meaning of gear. Additionally, exploration of the country allows the children to interact with concepts and others through nature. The historical education also fosters understanding through originality in learning and presentation. The education model achieves this through first-hand accounts of the elderly or the presence of artifacts in elaborating and placing significance on meaning. The structure of their frequent games that involve autonomy and relativity also promote engagement of the learners with the course material. The learners, consequentially, have various chances to engage with the learned material, and can also integrate it into their daily lives. </w:t>
      </w:r>
    </w:p>
    <w:p w:rsidR="00FE3DFA" w:rsidRPr="00FE3DFA" w:rsidRDefault="00FE3DFA" w:rsidP="00FE3DFA">
      <w:pPr>
        <w:spacing w:after="0" w:line="480" w:lineRule="auto"/>
        <w:ind w:firstLine="720"/>
        <w:rPr>
          <w:rFonts w:ascii="Times New Roman" w:hAnsi="Times New Roman" w:cs="Times New Roman"/>
          <w:sz w:val="24"/>
        </w:rPr>
      </w:pPr>
      <w:r w:rsidRPr="00FE3DFA">
        <w:rPr>
          <w:rFonts w:ascii="Times New Roman" w:hAnsi="Times New Roman" w:cs="Times New Roman"/>
          <w:sz w:val="24"/>
        </w:rPr>
        <w:lastRenderedPageBreak/>
        <w:t xml:space="preserve">The last foundation involves the fostering of communication and expression in all forms. The pillar holds the belief that every child is a capable communicator with the ability to express themselves in a variety of ways. In the quest of the Finnish model to promote self-esteem, the games structure situations where the children get to display their feelings to one another. The comprehension of these feelings by others allows for a better understanding of new concepts, and also promotes the adoption of learned concepts in the field. The education model also accentuates the need for respecting the learners as individuals targeting at encouraging understanding irrespective of differences. </w:t>
      </w:r>
    </w:p>
    <w:p w:rsidR="00FE3DFA" w:rsidRPr="00FE3DFA" w:rsidRDefault="00FE3DFA" w:rsidP="00FE3DFA">
      <w:pPr>
        <w:spacing w:after="0" w:line="480" w:lineRule="auto"/>
        <w:ind w:firstLine="720"/>
        <w:rPr>
          <w:rFonts w:ascii="Times New Roman" w:hAnsi="Times New Roman" w:cs="Times New Roman"/>
          <w:sz w:val="24"/>
        </w:rPr>
      </w:pPr>
      <w:r w:rsidRPr="00FE3DFA">
        <w:rPr>
          <w:rFonts w:ascii="Times New Roman" w:hAnsi="Times New Roman" w:cs="Times New Roman"/>
          <w:sz w:val="24"/>
        </w:rPr>
        <w:t xml:space="preserve">It is clear that the Finnish early education model structured the four foundations indicated under the 'How does Learning Happen?' document. The structure also supports the all-round knowledge and awareness of the children. Additionally, such a structure is highly influential in terming the standards of education of the Finnish model as better than for most countries. </w:t>
      </w:r>
    </w:p>
    <w:p w:rsidR="00FE3DFA" w:rsidRPr="00FE3DFA" w:rsidRDefault="00FE3DFA" w:rsidP="00FE3DFA">
      <w:pPr>
        <w:spacing w:after="0" w:line="480" w:lineRule="auto"/>
        <w:rPr>
          <w:rFonts w:ascii="Times New Roman" w:hAnsi="Times New Roman" w:cs="Times New Roman"/>
          <w:sz w:val="24"/>
        </w:rPr>
      </w:pPr>
      <w:r w:rsidRPr="00FE3DFA">
        <w:rPr>
          <w:rFonts w:ascii="Times New Roman" w:hAnsi="Times New Roman" w:cs="Times New Roman"/>
          <w:sz w:val="24"/>
        </w:rPr>
        <w:br w:type="page"/>
      </w:r>
    </w:p>
    <w:p w:rsidR="00FE3DFA" w:rsidRPr="00FE3DFA" w:rsidRDefault="00FE3DFA" w:rsidP="00FE3DFA">
      <w:pPr>
        <w:spacing w:after="0" w:line="480" w:lineRule="auto"/>
        <w:jc w:val="center"/>
        <w:rPr>
          <w:rFonts w:ascii="Times New Roman" w:hAnsi="Times New Roman" w:cs="Times New Roman"/>
          <w:sz w:val="24"/>
        </w:rPr>
      </w:pPr>
      <w:r w:rsidRPr="00FE3DFA">
        <w:rPr>
          <w:rFonts w:ascii="Times New Roman" w:hAnsi="Times New Roman" w:cs="Times New Roman"/>
          <w:sz w:val="24"/>
        </w:rPr>
        <w:lastRenderedPageBreak/>
        <w:t>References</w:t>
      </w:r>
    </w:p>
    <w:p w:rsidR="00FE3DFA" w:rsidRPr="00FE3DFA" w:rsidRDefault="00FE3DFA" w:rsidP="00FE3DFA">
      <w:pPr>
        <w:spacing w:after="0" w:line="480" w:lineRule="auto"/>
        <w:ind w:left="720" w:hanging="720"/>
        <w:rPr>
          <w:rFonts w:ascii="Times New Roman" w:hAnsi="Times New Roman" w:cs="Times New Roman"/>
          <w:sz w:val="24"/>
        </w:rPr>
      </w:pPr>
      <w:r w:rsidRPr="00FE3DFA">
        <w:rPr>
          <w:rFonts w:ascii="Times New Roman" w:hAnsi="Times New Roman" w:cs="Times New Roman"/>
          <w:sz w:val="24"/>
        </w:rPr>
        <w:t xml:space="preserve">Bertrand, J., Dr. Bernhard, J., Blaxall, J., Fields, J. B., Gordon, M., Goulet, M., et al. (2007). Early Learning for Early Child Today: </w:t>
      </w:r>
      <w:r w:rsidRPr="00FE3DFA">
        <w:rPr>
          <w:rFonts w:ascii="Times New Roman" w:hAnsi="Times New Roman" w:cs="Times New Roman"/>
          <w:i/>
          <w:sz w:val="24"/>
        </w:rPr>
        <w:t>A framework for Ontario's early childhood settings.</w:t>
      </w:r>
      <w:r w:rsidRPr="00FE3DFA">
        <w:rPr>
          <w:rFonts w:ascii="Times New Roman" w:hAnsi="Times New Roman" w:cs="Times New Roman"/>
          <w:sz w:val="24"/>
        </w:rPr>
        <w:t xml:space="preserve"> Ontario Ministry of Education.</w:t>
      </w:r>
    </w:p>
    <w:p w:rsidR="00FE3DFA" w:rsidRPr="00FE3DFA" w:rsidRDefault="00FE3DFA" w:rsidP="00FE3DFA">
      <w:pPr>
        <w:spacing w:after="0" w:line="480" w:lineRule="auto"/>
        <w:ind w:left="720" w:hanging="720"/>
        <w:rPr>
          <w:rFonts w:ascii="Times New Roman" w:hAnsi="Times New Roman" w:cs="Times New Roman"/>
          <w:sz w:val="24"/>
        </w:rPr>
      </w:pPr>
      <w:r w:rsidRPr="00FE3DFA">
        <w:rPr>
          <w:rFonts w:ascii="Times New Roman" w:hAnsi="Times New Roman" w:cs="Times New Roman"/>
          <w:sz w:val="24"/>
        </w:rPr>
        <w:t xml:space="preserve">Kansanen, P. (2015). Teacher education in Finland: Current models and new developments. </w:t>
      </w:r>
      <w:r w:rsidRPr="00FE3DFA">
        <w:rPr>
          <w:rFonts w:ascii="Times New Roman" w:hAnsi="Times New Roman" w:cs="Times New Roman"/>
          <w:i/>
          <w:sz w:val="24"/>
        </w:rPr>
        <w:t>International approaches to teacher education within higher education in Europe: current models and new developments,</w:t>
      </w:r>
      <w:r w:rsidRPr="00FE3DFA">
        <w:rPr>
          <w:rFonts w:ascii="Times New Roman" w:hAnsi="Times New Roman" w:cs="Times New Roman"/>
          <w:sz w:val="24"/>
        </w:rPr>
        <w:t xml:space="preserve"> 85-108.</w:t>
      </w:r>
    </w:p>
    <w:p w:rsidR="00FE3DFA" w:rsidRPr="00FE3DFA" w:rsidRDefault="00FE3DFA" w:rsidP="00FE3DFA">
      <w:pPr>
        <w:spacing w:after="0" w:line="480" w:lineRule="auto"/>
        <w:ind w:left="720" w:hanging="720"/>
        <w:rPr>
          <w:rFonts w:ascii="Times New Roman" w:hAnsi="Times New Roman" w:cs="Times New Roman"/>
          <w:sz w:val="24"/>
        </w:rPr>
      </w:pPr>
      <w:r w:rsidRPr="00FE3DFA">
        <w:rPr>
          <w:rFonts w:ascii="Times New Roman" w:hAnsi="Times New Roman" w:cs="Times New Roman"/>
          <w:sz w:val="24"/>
        </w:rPr>
        <w:t xml:space="preserve">Ontario Public Services. (2014). </w:t>
      </w:r>
      <w:r w:rsidRPr="00FE3DFA">
        <w:rPr>
          <w:rFonts w:ascii="Times New Roman" w:hAnsi="Times New Roman" w:cs="Times New Roman"/>
          <w:i/>
          <w:sz w:val="24"/>
        </w:rPr>
        <w:t>How Does Learning Happen? Ontario's Pedagogy for the Early Years.</w:t>
      </w:r>
      <w:r w:rsidRPr="00FE3DFA">
        <w:rPr>
          <w:rFonts w:ascii="Times New Roman" w:hAnsi="Times New Roman" w:cs="Times New Roman"/>
          <w:sz w:val="24"/>
        </w:rPr>
        <w:t xml:space="preserve"> Ontario: Ministry of Education.</w:t>
      </w:r>
    </w:p>
    <w:p w:rsidR="00267FC1" w:rsidRPr="00FE3DFA" w:rsidRDefault="00FE3DFA" w:rsidP="00FE3DFA">
      <w:pPr>
        <w:spacing w:after="0" w:line="480" w:lineRule="auto"/>
        <w:ind w:left="720" w:hanging="720"/>
        <w:rPr>
          <w:rFonts w:ascii="Times New Roman" w:hAnsi="Times New Roman" w:cs="Times New Roman"/>
          <w:sz w:val="24"/>
        </w:rPr>
      </w:pPr>
      <w:r w:rsidRPr="00FE3DFA">
        <w:rPr>
          <w:rFonts w:ascii="Times New Roman" w:hAnsi="Times New Roman" w:cs="Times New Roman"/>
          <w:sz w:val="24"/>
        </w:rPr>
        <w:t xml:space="preserve">Thuneberg, H., Hautamaki, J., Ahtianen, R., Lintuvuori, M., Vainikainen, M. P., &amp; Hilasvuori, T. (2018). Conceptual change in adopting the national special education strategy in Finland. </w:t>
      </w:r>
      <w:r w:rsidRPr="00FE3DFA">
        <w:rPr>
          <w:rFonts w:ascii="Times New Roman" w:hAnsi="Times New Roman" w:cs="Times New Roman"/>
          <w:i/>
          <w:sz w:val="24"/>
        </w:rPr>
        <w:t>Journal of Educational Change,</w:t>
      </w:r>
      <w:r w:rsidRPr="00FE3DFA">
        <w:rPr>
          <w:rFonts w:ascii="Times New Roman" w:hAnsi="Times New Roman" w:cs="Times New Roman"/>
          <w:sz w:val="24"/>
        </w:rPr>
        <w:t xml:space="preserve"> 15 (1), 37-56.</w:t>
      </w:r>
    </w:p>
    <w:sectPr w:rsidR="00267FC1" w:rsidRPr="00FE3DFA" w:rsidSect="00FE3D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B7C" w:rsidRDefault="00E01B7C" w:rsidP="00FE3DFA">
      <w:pPr>
        <w:spacing w:after="0" w:line="240" w:lineRule="auto"/>
      </w:pPr>
      <w:r>
        <w:separator/>
      </w:r>
    </w:p>
  </w:endnote>
  <w:endnote w:type="continuationSeparator" w:id="0">
    <w:p w:rsidR="00E01B7C" w:rsidRDefault="00E01B7C" w:rsidP="00FE3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B7C" w:rsidRDefault="00E01B7C" w:rsidP="00FE3DFA">
      <w:pPr>
        <w:spacing w:after="0" w:line="240" w:lineRule="auto"/>
      </w:pPr>
      <w:r>
        <w:separator/>
      </w:r>
    </w:p>
  </w:footnote>
  <w:footnote w:type="continuationSeparator" w:id="0">
    <w:p w:rsidR="00E01B7C" w:rsidRDefault="00E01B7C" w:rsidP="00FE3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DFA" w:rsidRPr="00FE3DFA" w:rsidRDefault="00FE3DFA">
    <w:pPr>
      <w:pStyle w:val="Header"/>
      <w:jc w:val="right"/>
      <w:rPr>
        <w:rFonts w:ascii="Times New Roman" w:hAnsi="Times New Roman" w:cs="Times New Roman"/>
        <w:sz w:val="24"/>
      </w:rPr>
    </w:pPr>
    <w:r w:rsidRPr="00FE3DFA">
      <w:rPr>
        <w:rFonts w:ascii="Times New Roman" w:hAnsi="Times New Roman" w:cs="Times New Roman"/>
        <w:sz w:val="24"/>
      </w:rPr>
      <w:t>FOUR FOUNDATIONS FROM ‘HOW DOES LEARNING HAPPEN?’</w:t>
    </w:r>
    <w:r w:rsidRPr="00FE3DFA">
      <w:rPr>
        <w:rFonts w:ascii="Times New Roman" w:hAnsi="Times New Roman" w:cs="Times New Roman"/>
        <w:sz w:val="24"/>
      </w:rPr>
      <w:tab/>
    </w:r>
    <w:sdt>
      <w:sdtPr>
        <w:rPr>
          <w:rFonts w:ascii="Times New Roman" w:hAnsi="Times New Roman" w:cs="Times New Roman"/>
          <w:sz w:val="24"/>
        </w:rPr>
        <w:id w:val="48983181"/>
        <w:docPartObj>
          <w:docPartGallery w:val="Page Numbers (Top of Page)"/>
          <w:docPartUnique/>
        </w:docPartObj>
      </w:sdtPr>
      <w:sdtEndPr/>
      <w:sdtContent>
        <w:r w:rsidRPr="00FE3DFA">
          <w:rPr>
            <w:rFonts w:ascii="Times New Roman" w:hAnsi="Times New Roman" w:cs="Times New Roman"/>
            <w:sz w:val="24"/>
          </w:rPr>
          <w:fldChar w:fldCharType="begin"/>
        </w:r>
        <w:r w:rsidRPr="00FE3DFA">
          <w:rPr>
            <w:rFonts w:ascii="Times New Roman" w:hAnsi="Times New Roman" w:cs="Times New Roman"/>
            <w:sz w:val="24"/>
          </w:rPr>
          <w:instrText xml:space="preserve"> PAGE   \* MERGEFORMAT </w:instrText>
        </w:r>
        <w:r w:rsidRPr="00FE3DFA">
          <w:rPr>
            <w:rFonts w:ascii="Times New Roman" w:hAnsi="Times New Roman" w:cs="Times New Roman"/>
            <w:sz w:val="24"/>
          </w:rPr>
          <w:fldChar w:fldCharType="separate"/>
        </w:r>
        <w:r w:rsidR="004B6800">
          <w:rPr>
            <w:rFonts w:ascii="Times New Roman" w:hAnsi="Times New Roman" w:cs="Times New Roman"/>
            <w:noProof/>
            <w:sz w:val="24"/>
          </w:rPr>
          <w:t>2</w:t>
        </w:r>
        <w:r w:rsidRPr="00FE3DFA">
          <w:rPr>
            <w:rFonts w:ascii="Times New Roman" w:hAnsi="Times New Roman" w:cs="Times New Roman"/>
            <w:sz w:val="24"/>
          </w:rPr>
          <w:fldChar w:fldCharType="end"/>
        </w:r>
      </w:sdtContent>
    </w:sdt>
  </w:p>
  <w:p w:rsidR="00FE3DFA" w:rsidRPr="00FE3DFA" w:rsidRDefault="00FE3DFA">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DFA" w:rsidRPr="00FE3DFA" w:rsidRDefault="00FE3DFA">
    <w:pPr>
      <w:pStyle w:val="Header"/>
      <w:jc w:val="right"/>
      <w:rPr>
        <w:rFonts w:ascii="Times New Roman" w:hAnsi="Times New Roman" w:cs="Times New Roman"/>
        <w:sz w:val="24"/>
      </w:rPr>
    </w:pPr>
    <w:r w:rsidRPr="00FE3DFA">
      <w:rPr>
        <w:rFonts w:ascii="Times New Roman" w:hAnsi="Times New Roman" w:cs="Times New Roman"/>
        <w:sz w:val="24"/>
      </w:rPr>
      <w:t xml:space="preserve">Running Head: FOUR FOUNDATIONS FROM </w:t>
    </w:r>
    <w:r>
      <w:rPr>
        <w:rFonts w:ascii="Times New Roman" w:hAnsi="Times New Roman" w:cs="Times New Roman"/>
        <w:sz w:val="24"/>
      </w:rPr>
      <w:t>‘</w:t>
    </w:r>
    <w:r w:rsidRPr="00FE3DFA">
      <w:rPr>
        <w:rFonts w:ascii="Times New Roman" w:hAnsi="Times New Roman" w:cs="Times New Roman"/>
        <w:sz w:val="24"/>
      </w:rPr>
      <w:t>HOW DOES LEARNING HAPPEN</w:t>
    </w:r>
    <w:r>
      <w:rPr>
        <w:rFonts w:ascii="Times New Roman" w:hAnsi="Times New Roman" w:cs="Times New Roman"/>
        <w:sz w:val="24"/>
      </w:rPr>
      <w:t>?’</w:t>
    </w:r>
    <w:r w:rsidRPr="00FE3DFA">
      <w:rPr>
        <w:rFonts w:ascii="Times New Roman" w:hAnsi="Times New Roman" w:cs="Times New Roman"/>
        <w:sz w:val="24"/>
      </w:rPr>
      <w:t xml:space="preserve"> </w:t>
    </w:r>
    <w:r w:rsidRPr="00FE3DFA">
      <w:rPr>
        <w:rFonts w:ascii="Times New Roman" w:hAnsi="Times New Roman" w:cs="Times New Roman"/>
        <w:sz w:val="24"/>
      </w:rPr>
      <w:tab/>
    </w:r>
    <w:sdt>
      <w:sdtPr>
        <w:rPr>
          <w:rFonts w:ascii="Times New Roman" w:hAnsi="Times New Roman" w:cs="Times New Roman"/>
          <w:sz w:val="24"/>
        </w:rPr>
        <w:id w:val="48983242"/>
        <w:docPartObj>
          <w:docPartGallery w:val="Page Numbers (Top of Page)"/>
          <w:docPartUnique/>
        </w:docPartObj>
      </w:sdtPr>
      <w:sdtEndPr/>
      <w:sdtContent>
        <w:r w:rsidRPr="00FE3DFA">
          <w:rPr>
            <w:rFonts w:ascii="Times New Roman" w:hAnsi="Times New Roman" w:cs="Times New Roman"/>
            <w:sz w:val="24"/>
          </w:rPr>
          <w:fldChar w:fldCharType="begin"/>
        </w:r>
        <w:r w:rsidRPr="00FE3DFA">
          <w:rPr>
            <w:rFonts w:ascii="Times New Roman" w:hAnsi="Times New Roman" w:cs="Times New Roman"/>
            <w:sz w:val="24"/>
          </w:rPr>
          <w:instrText xml:space="preserve"> PAGE   \* MERGEFORMAT </w:instrText>
        </w:r>
        <w:r w:rsidRPr="00FE3DFA">
          <w:rPr>
            <w:rFonts w:ascii="Times New Roman" w:hAnsi="Times New Roman" w:cs="Times New Roman"/>
            <w:sz w:val="24"/>
          </w:rPr>
          <w:fldChar w:fldCharType="separate"/>
        </w:r>
        <w:r w:rsidR="004B6800">
          <w:rPr>
            <w:rFonts w:ascii="Times New Roman" w:hAnsi="Times New Roman" w:cs="Times New Roman"/>
            <w:noProof/>
            <w:sz w:val="24"/>
          </w:rPr>
          <w:t>1</w:t>
        </w:r>
        <w:r w:rsidRPr="00FE3DFA">
          <w:rPr>
            <w:rFonts w:ascii="Times New Roman" w:hAnsi="Times New Roman" w:cs="Times New Roman"/>
            <w:sz w:val="24"/>
          </w:rPr>
          <w:fldChar w:fldCharType="end"/>
        </w:r>
      </w:sdtContent>
    </w:sdt>
  </w:p>
  <w:p w:rsidR="00FE3DFA" w:rsidRPr="00FE3DFA" w:rsidRDefault="00FE3DFA">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70E87"/>
    <w:rsid w:val="00170E87"/>
    <w:rsid w:val="001E21E4"/>
    <w:rsid w:val="00267FC1"/>
    <w:rsid w:val="004145F1"/>
    <w:rsid w:val="004B6800"/>
    <w:rsid w:val="0069112F"/>
    <w:rsid w:val="00971D2A"/>
    <w:rsid w:val="00C957FB"/>
    <w:rsid w:val="00CE08C9"/>
    <w:rsid w:val="00DE5719"/>
    <w:rsid w:val="00E01B7C"/>
    <w:rsid w:val="00EA0056"/>
    <w:rsid w:val="00F429A4"/>
    <w:rsid w:val="00FE3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15E238-D51D-4E1F-B44E-EE81EBAA1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67FC1"/>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29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9A4"/>
    <w:rPr>
      <w:rFonts w:ascii="Tahoma" w:hAnsi="Tahoma" w:cs="Tahoma"/>
      <w:sz w:val="16"/>
      <w:szCs w:val="16"/>
    </w:rPr>
  </w:style>
  <w:style w:type="character" w:customStyle="1" w:styleId="Heading1Char">
    <w:name w:val="Heading 1 Char"/>
    <w:basedOn w:val="DefaultParagraphFont"/>
    <w:link w:val="Heading1"/>
    <w:uiPriority w:val="9"/>
    <w:rsid w:val="00267FC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67FC1"/>
  </w:style>
  <w:style w:type="paragraph" w:styleId="Header">
    <w:name w:val="header"/>
    <w:basedOn w:val="Normal"/>
    <w:link w:val="HeaderChar"/>
    <w:uiPriority w:val="99"/>
    <w:unhideWhenUsed/>
    <w:rsid w:val="00FE3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DFA"/>
  </w:style>
  <w:style w:type="paragraph" w:styleId="Footer">
    <w:name w:val="footer"/>
    <w:basedOn w:val="Normal"/>
    <w:link w:val="FooterChar"/>
    <w:uiPriority w:val="99"/>
    <w:semiHidden/>
    <w:unhideWhenUsed/>
    <w:rsid w:val="00FE3D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3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Ber07</b:Tag>
    <b:SourceType>Book</b:SourceType>
    <b:Guid>{587302A8-4E0A-4FF2-9A1D-6D63D51AA915}</b:Guid>
    <b:Author>
      <b:Author>
        <b:NameList>
          <b:Person>
            <b:Last>Bertrand</b:Last>
            <b:First>Jane</b:First>
          </b:Person>
          <b:Person>
            <b:Last>Dr. Bernhard</b:Last>
            <b:First>Judith</b:First>
          </b:Person>
          <b:Person>
            <b:Last>Blaxall</b:Last>
            <b:First>Jan</b:First>
          </b:Person>
          <b:Person>
            <b:Last>Fields</b:Last>
            <b:First>Jaynane</b:First>
            <b:Middle>Burning</b:Middle>
          </b:Person>
          <b:Person>
            <b:Last>Gordon</b:Last>
            <b:First>Mary</b:First>
          </b:Person>
          <b:Person>
            <b:Last>Goulet</b:Last>
            <b:First>Marie</b:First>
          </b:Person>
          <b:Person>
            <b:Last>Greenberg</b:Last>
            <b:First>Janice</b:First>
          </b:Person>
          <b:Person>
            <b:Last>Latulippe</b:Last>
            <b:First>Josee</b:First>
          </b:Person>
          <b:Person>
            <b:Last>Littleford</b:Last>
            <b:First>Joan</b:First>
          </b:Person>
          <b:Person>
            <b:Last>Maltais</b:Last>
            <b:First>Claire</b:First>
          </b:Person>
          <b:Person>
            <b:Last>Dr. Pelletier</b:Last>
            <b:First>Jannette</b:First>
          </b:Person>
          <b:Person>
            <b:Last>Dr. Schmidt</b:Last>
            <b:First>Bonnie</b:First>
          </b:Person>
          <b:Person>
            <b:Last>Thompson</b:Last>
            <b:First>Kathy</b:First>
          </b:Person>
          <b:Person>
            <b:Last>Varmuza</b:Last>
            <b:First>Petr</b:First>
          </b:Person>
          <b:Person>
            <b:Last>Zimanyi</b:Last>
            <b:First>Louise</b:First>
          </b:Person>
        </b:NameList>
      </b:Author>
    </b:Author>
    <b:Title>Early Learning for Early Child Today: A framework for Ontario early childhood settings</b:Title>
    <b:Year>2007</b:Year>
    <b:Publisher>Ontario Ministry of Education</b:Publisher>
    <b:StandardNumber>http://www.edu.gov.on.ca/childcare/oelf/continuum/continuum.pdf</b:StandardNumber>
    <b:RefOrder>2</b:RefOrder>
  </b:Source>
  <b:Source>
    <b:Tag>Ont14</b:Tag>
    <b:SourceType>Book</b:SourceType>
    <b:Guid>{A9391983-30FE-4CBD-A87F-BEE1857B7697}</b:Guid>
    <b:Author>
      <b:Author>
        <b:Corporate>Ontario Public Services</b:Corporate>
      </b:Author>
    </b:Author>
    <b:Title>How Does Learning Happen? Ontario's Pedagogy for the Early Years</b:Title>
    <b:Year>2014</b:Year>
    <b:City>Ontario</b:City>
    <b:Publisher>Ministry of Education</b:Publisher>
    <b:StandardNumber>http://www.edu.gov.on.ca/childcare/HowLearningHappens.pdf</b:StandardNumber>
    <b:RefOrder>1</b:RefOrder>
  </b:Source>
  <b:Source>
    <b:Tag>Kan15</b:Tag>
    <b:SourceType>JournalArticle</b:SourceType>
    <b:Guid>{50F29E6C-2068-4522-8644-9D60C1956E6D}</b:Guid>
    <b:Author>
      <b:Author>
        <b:NameList>
          <b:Person>
            <b:Last>Kansanen</b:Last>
            <b:First>P.</b:First>
          </b:Person>
        </b:NameList>
      </b:Author>
    </b:Author>
    <b:Title>Teacher education in Finland: Current models and new developments</b:Title>
    <b:Year>2015</b:Year>
    <b:JournalName>International apporaches to teacher education within higher education in Europe: current models and new developments</b:JournalName>
    <b:Pages>85-108</b:Pages>
    <b:RefOrder>3</b:RefOrder>
  </b:Source>
  <b:Source>
    <b:Tag>Thu18</b:Tag>
    <b:SourceType>JournalArticle</b:SourceType>
    <b:Guid>{A56B73BB-1662-4D1D-A038-13266E45FEBF}</b:Guid>
    <b:Author>
      <b:Author>
        <b:NameList>
          <b:Person>
            <b:Last>Thuneberg</b:Last>
            <b:First>H.</b:First>
          </b:Person>
          <b:Person>
            <b:Last>Hautamaki</b:Last>
            <b:First>J.</b:First>
          </b:Person>
          <b:Person>
            <b:Last>Ahtianen</b:Last>
            <b:First>R.</b:First>
          </b:Person>
          <b:Person>
            <b:Last>Lintuvuori</b:Last>
            <b:First>M.</b:First>
          </b:Person>
          <b:Person>
            <b:Last>Vainikainen</b:Last>
            <b:First>M.</b:First>
            <b:Middle>P.</b:Middle>
          </b:Person>
          <b:Person>
            <b:Last>Hilasvuori</b:Last>
            <b:First>T.</b:First>
          </b:Person>
        </b:NameList>
      </b:Author>
    </b:Author>
    <b:Title>Conceptual change in adopting the national special education strategy in Finland</b:Title>
    <b:JournalName>Journal of Educational Change</b:JournalName>
    <b:Year>2018</b:Year>
    <b:Pages>37-56</b:Pages>
    <b:Volume>15</b:Volume>
    <b:Issue>1</b:Issue>
    <b:RefOrder>4</b:RefOrder>
  </b:Source>
</b:Sources>
</file>

<file path=customXml/itemProps1.xml><?xml version="1.0" encoding="utf-8"?>
<ds:datastoreItem xmlns:ds="http://schemas.openxmlformats.org/officeDocument/2006/customXml" ds:itemID="{D683ECC9-C701-4626-9E3F-CDACEB226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6</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7</cp:revision>
  <dcterms:created xsi:type="dcterms:W3CDTF">2020-03-12T16:54:00Z</dcterms:created>
  <dcterms:modified xsi:type="dcterms:W3CDTF">2020-03-13T01:14:00Z</dcterms:modified>
</cp:coreProperties>
</file>